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40" w:rsidRPr="00EA3E40" w:rsidRDefault="00EA3E40" w:rsidP="00EA3E4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color w:val="000000"/>
          <w:sz w:val="20"/>
          <w:szCs w:val="20"/>
          <w:u w:val="single"/>
        </w:rPr>
      </w:pPr>
      <w:r w:rsidRPr="00EA3E40">
        <w:rPr>
          <w:rFonts w:ascii="MyriadPro-Regular" w:hAnsi="MyriadPro-Regular" w:cs="MyriadPro-Regular"/>
          <w:b/>
          <w:color w:val="000000"/>
          <w:sz w:val="20"/>
          <w:szCs w:val="20"/>
          <w:u w:val="single"/>
        </w:rPr>
        <w:t>«Άρθρο 104</w:t>
      </w:r>
      <w:r>
        <w:rPr>
          <w:rFonts w:ascii="MyriadPro-Regular" w:hAnsi="MyriadPro-Regular" w:cs="MyriadPro-Regular"/>
          <w:b/>
          <w:color w:val="000000"/>
          <w:sz w:val="20"/>
          <w:szCs w:val="20"/>
          <w:u w:val="single"/>
        </w:rPr>
        <w:t xml:space="preserve"> </w:t>
      </w:r>
    </w:p>
    <w:p w:rsidR="00EA3E40" w:rsidRDefault="00EA3E40" w:rsidP="00EA3E4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u w:val="single"/>
        </w:rPr>
      </w:pPr>
      <w:r w:rsidRPr="00EA3E40">
        <w:rPr>
          <w:rFonts w:ascii="MyriadPro-Regular" w:hAnsi="MyriadPro-Regular" w:cs="MyriadPro-Regular"/>
          <w:color w:val="000000"/>
          <w:sz w:val="20"/>
          <w:szCs w:val="20"/>
          <w:u w:val="single"/>
        </w:rPr>
        <w:t>Συνοδευτικά Παραστατικά Διακίνησης</w:t>
      </w:r>
      <w:r w:rsidRPr="00EA3E40">
        <w:rPr>
          <w:rFonts w:ascii="MyriadPro-Regular" w:hAnsi="MyriadPro-Regular" w:cs="MyriadPro-Regular"/>
          <w:color w:val="000000"/>
          <w:sz w:val="20"/>
          <w:szCs w:val="20"/>
          <w:u w:val="single"/>
        </w:rPr>
        <w:t xml:space="preserve"> </w:t>
      </w:r>
      <w:r w:rsidRPr="00EA3E40">
        <w:rPr>
          <w:rFonts w:ascii="MyriadPro-Regular" w:hAnsi="MyriadPro-Regular" w:cs="MyriadPro-Regular"/>
          <w:color w:val="000000"/>
          <w:sz w:val="20"/>
          <w:szCs w:val="20"/>
          <w:u w:val="single"/>
        </w:rPr>
        <w:t>Πετρελαίου για Θέρμανση</w:t>
      </w:r>
    </w:p>
    <w:p w:rsidR="00EA3E40" w:rsidRPr="00EA3E40" w:rsidRDefault="00EA3E40" w:rsidP="00EA3E4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  <w:u w:val="single"/>
        </w:rPr>
      </w:pPr>
    </w:p>
    <w:p w:rsidR="00EA3E40" w:rsidRDefault="00EA3E40" w:rsidP="00EA3E40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1. Κάθε ποσότητα πετρελαίου για θέρμανση που διακινείται από φυσικά ή νομικά πρόσωπα (διακινητές) για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color w:val="000000"/>
          <w:sz w:val="20"/>
          <w:szCs w:val="20"/>
        </w:rPr>
        <w:t>εμπορία, με οποιοδήποτε τρόπο, συνοδεύεται υποχρεωτικά από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τα </w:t>
      </w:r>
      <w:r>
        <w:rPr>
          <w:rFonts w:ascii="MyriadPro-Regular" w:hAnsi="MyriadPro-Regular" w:cs="MyriadPro-Regular"/>
          <w:color w:val="000000"/>
          <w:sz w:val="20"/>
          <w:szCs w:val="20"/>
        </w:rPr>
        <w:t>προβλεπόμενα φορολογικά/τελωνειακά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color w:val="000000"/>
          <w:sz w:val="20"/>
          <w:szCs w:val="20"/>
        </w:rPr>
        <w:t>παραστατικά στοιχεία.</w:t>
      </w:r>
    </w:p>
    <w:p w:rsidR="00EA3E40" w:rsidRDefault="00EA3E40" w:rsidP="00EA3E4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EA3E40" w:rsidRDefault="00EA3E40" w:rsidP="00EA3E4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2. Ως διακινητής νοείται το φυσικό ή νομικό πρόσωπο, τα στοιχεία του οποίου είναι αναγεγραμμένα επί των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color w:val="000000"/>
          <w:sz w:val="20"/>
          <w:szCs w:val="20"/>
        </w:rPr>
        <w:t>φορολογικών παραστατικών διακίνησης.</w:t>
      </w:r>
    </w:p>
    <w:p w:rsidR="00EA3E40" w:rsidRDefault="00EA3E40" w:rsidP="00EA3E4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EA3E40" w:rsidRDefault="00EA3E40" w:rsidP="00EA3E4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3. Στην περίπτωση που, για τη διακίνηση του πετρελαίου για θέρμανση, δεν έχει εκδοθεί Συγκεντρωτικό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color w:val="000000"/>
          <w:sz w:val="20"/>
          <w:szCs w:val="20"/>
        </w:rPr>
        <w:t>Δελτίο Αποστολής, τότε εκδίδεται, από το διακινητή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, </w:t>
      </w:r>
      <w:r>
        <w:rPr>
          <w:rFonts w:ascii="MyriadPro-Regular" w:hAnsi="MyriadPro-Regular" w:cs="MyriadPro-Regular"/>
          <w:color w:val="000000"/>
          <w:sz w:val="20"/>
          <w:szCs w:val="20"/>
        </w:rPr>
        <w:t>υποχρεωτικά κατά την έναρξη του δρομολογίου, «Δελτίο Διακίνησης Πετρελαίου για Θέρμανση» στο οποίο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color w:val="000000"/>
          <w:sz w:val="20"/>
          <w:szCs w:val="20"/>
        </w:rPr>
        <w:t>αναγράφονται:</w:t>
      </w:r>
    </w:p>
    <w:p w:rsidR="00EA3E40" w:rsidRDefault="00EA3E40" w:rsidP="00EA3E4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EA3E40" w:rsidRDefault="00EA3E40" w:rsidP="00EA3E4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Α. Τα στοιχεία του διακινητή (επωνυμία, διεύθυνση, ΑΦΜ)</w:t>
      </w:r>
    </w:p>
    <w:p w:rsidR="00EA3E40" w:rsidRDefault="00EA3E40" w:rsidP="00EA3E4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Β. Η ημερομηνία και η ώρα έναρξης του δρομολογίου</w:t>
      </w:r>
    </w:p>
    <w:p w:rsidR="00EA3E40" w:rsidRDefault="00EA3E40" w:rsidP="00EA3E4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Γ. Ο αριθμός κυκλοφορίας του βυτιοφόρου</w:t>
      </w:r>
    </w:p>
    <w:p w:rsidR="00EA3E40" w:rsidRDefault="00EA3E40" w:rsidP="00EA3E4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Δ. Το όνομα του οδηγού</w:t>
      </w:r>
    </w:p>
    <w:p w:rsidR="00EA3E40" w:rsidRDefault="00EA3E40" w:rsidP="00EA3E4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Ε. Η συνολική φορτωθείσα ποσότητα</w:t>
      </w:r>
    </w:p>
    <w:p w:rsidR="00EA3E40" w:rsidRDefault="00EA3E40" w:rsidP="00EA3E4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ΣΤ. Ο αύξων αριθμός της αυτόματα εκδιδόμενης απόδειξης εσόδου από το ολοκληρωμένο σύστημα παρακολούθησης εισροών εκροών, η οποία παραμένει στον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color w:val="000000"/>
          <w:sz w:val="20"/>
          <w:szCs w:val="20"/>
        </w:rPr>
        <w:t>πωλητή και επισυνάπτεται στο στέλεχος του αντίστοιχου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color w:val="000000"/>
          <w:sz w:val="20"/>
          <w:szCs w:val="20"/>
        </w:rPr>
        <w:t>Δελτίου Διακίνησης Πετρελαίου για Θέρμανση.</w:t>
      </w:r>
    </w:p>
    <w:p w:rsidR="00EA3E40" w:rsidRDefault="00EA3E40" w:rsidP="00EA3E4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Ζ. Οι αριθμοί καθεμίας από τις εκδοθείσες «Αποδείξεις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color w:val="000000"/>
          <w:sz w:val="20"/>
          <w:szCs w:val="20"/>
        </w:rPr>
        <w:t>λιανικής/Δελτία αποστολής» ή «Τιμολόγια/</w:t>
      </w:r>
      <w:proofErr w:type="spellStart"/>
      <w:r>
        <w:rPr>
          <w:rFonts w:ascii="MyriadPro-Regular" w:hAnsi="MyriadPro-Regular" w:cs="MyriadPro-Regular"/>
          <w:color w:val="000000"/>
          <w:sz w:val="20"/>
          <w:szCs w:val="20"/>
        </w:rPr>
        <w:t>Δελτί</w:t>
      </w:r>
      <w:proofErr w:type="spellEnd"/>
      <w:r>
        <w:rPr>
          <w:rFonts w:ascii="MyriadPro-Regular" w:hAnsi="MyriadPro-Regular" w:cs="MyriadPro-Regular"/>
          <w:color w:val="000000"/>
          <w:sz w:val="20"/>
          <w:szCs w:val="20"/>
        </w:rPr>
        <w:t>α Αποστολής», που αφορούν τις παραγγελίες που διακινούνται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color w:val="000000"/>
          <w:sz w:val="20"/>
          <w:szCs w:val="20"/>
        </w:rPr>
        <w:t>στο συγκεκριμένο δρομολόγιο.</w:t>
      </w:r>
    </w:p>
    <w:p w:rsidR="00EA3E40" w:rsidRDefault="00EA3E40" w:rsidP="00EA3E4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Το άθροισμα των ποσοτήτων που αναγράφονται 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στις </w:t>
      </w:r>
      <w:r>
        <w:rPr>
          <w:rFonts w:ascii="MyriadPro-Regular" w:hAnsi="MyriadPro-Regular" w:cs="MyriadPro-Regular"/>
          <w:color w:val="000000"/>
          <w:sz w:val="20"/>
          <w:szCs w:val="20"/>
        </w:rPr>
        <w:t>εκδοθείσες Αποδείξεις λιανικής/Δελτία αποστολής» ή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color w:val="000000"/>
          <w:sz w:val="20"/>
          <w:szCs w:val="20"/>
        </w:rPr>
        <w:t>στα «Τιμολόγια/</w:t>
      </w:r>
      <w:proofErr w:type="spellStart"/>
      <w:r>
        <w:rPr>
          <w:rFonts w:ascii="MyriadPro-Regular" w:hAnsi="MyriadPro-Regular" w:cs="MyriadPro-Regular"/>
          <w:color w:val="000000"/>
          <w:sz w:val="20"/>
          <w:szCs w:val="20"/>
        </w:rPr>
        <w:t>Δελτί</w:t>
      </w:r>
      <w:proofErr w:type="spellEnd"/>
      <w:r>
        <w:rPr>
          <w:rFonts w:ascii="MyriadPro-Regular" w:hAnsi="MyriadPro-Regular" w:cs="MyriadPro-Regular"/>
          <w:color w:val="000000"/>
          <w:sz w:val="20"/>
          <w:szCs w:val="20"/>
        </w:rPr>
        <w:t>α αποστολής» πρέπει να ισούται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bookmarkStart w:id="0" w:name="_GoBack"/>
      <w:bookmarkEnd w:id="0"/>
      <w:r>
        <w:rPr>
          <w:rFonts w:ascii="MyriadPro-Regular" w:hAnsi="MyriadPro-Regular" w:cs="MyriadPro-Regular"/>
          <w:color w:val="000000"/>
          <w:sz w:val="20"/>
          <w:szCs w:val="20"/>
        </w:rPr>
        <w:t>με τη φορτωθείσα, στο συγκεκριμένο δρομολόγιο, ποσότητα Πετρελαίου για Θέρμανση.</w:t>
      </w:r>
    </w:p>
    <w:p w:rsidR="00EA3E40" w:rsidRDefault="00EA3E40" w:rsidP="00EA3E4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EA3E40" w:rsidRDefault="00EA3E40" w:rsidP="00EA3E4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4. Τα στοιχεία της παραγράφου 3 συμπληρώνονται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color w:val="000000"/>
          <w:sz w:val="20"/>
          <w:szCs w:val="20"/>
        </w:rPr>
        <w:t>κατά την έναρξη του δρομολογίου. Την πρωτότυπη σελίδα του Δελτίου Διακίνησης Πετρελαίου για Θέρμανση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color w:val="000000"/>
          <w:sz w:val="20"/>
          <w:szCs w:val="20"/>
        </w:rPr>
        <w:t>έχει μαζί του ο οδηγός και συνοδεύει τη διακίνηση των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color w:val="000000"/>
          <w:sz w:val="20"/>
          <w:szCs w:val="20"/>
        </w:rPr>
        <w:t>συγκεκριμένων παραγγελιών που αναγράφονται σ’ αυτό,</w:t>
      </w:r>
    </w:p>
    <w:p w:rsidR="00EA3E40" w:rsidRDefault="00EA3E40" w:rsidP="00EA3E4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ενώ το στέλεχος παραμένει στο χώρο έκδοσης των τιμολογίων, με ευθύνη του διακινητή.</w:t>
      </w:r>
    </w:p>
    <w:p w:rsidR="00EA3E40" w:rsidRDefault="00EA3E40" w:rsidP="00EA3E4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EA3E40" w:rsidRDefault="00EA3E40" w:rsidP="00EA3E4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5. Μετά το τέλος κάθε διανομής, ο οδηγός παραδίδει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color w:val="000000"/>
          <w:sz w:val="20"/>
          <w:szCs w:val="20"/>
        </w:rPr>
        <w:t>το Δελτίο Διακίνησης Πετρελαίου για Θέρμανση, στο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color w:val="000000"/>
          <w:sz w:val="20"/>
          <w:szCs w:val="20"/>
        </w:rPr>
        <w:t>διακινητή, ο οποίος το διατηρεί για δύο έτη.</w:t>
      </w:r>
    </w:p>
    <w:p w:rsidR="00EA3E40" w:rsidRDefault="00EA3E40" w:rsidP="00EA3E4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EA3E40" w:rsidRDefault="00EA3E40" w:rsidP="00EA3E4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6. Στην περίπτωση που, για τη διακίνηση του Πετρελαίου για Θέρμανση, έχει εκδοθεί Συγκεντρωτικό Δελτίο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color w:val="000000"/>
          <w:sz w:val="20"/>
          <w:szCs w:val="20"/>
        </w:rPr>
        <w:t>Αποστολής, τότε δεν απαιτείται η έκδοση Δελτίου Διακίνησης Πετρελαίου για Θέρμανση. Σύμφωνα με την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color w:val="000000"/>
          <w:sz w:val="20"/>
          <w:szCs w:val="20"/>
        </w:rPr>
        <w:t>παρ. IV.7 της ΠΟΛ. 1161/26-6-2013 (ΑΔΑ ΒΛ46Η-Ε9Ρ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), </w:t>
      </w:r>
      <w:r>
        <w:rPr>
          <w:rFonts w:ascii="MyriadPro-Regular" w:hAnsi="MyriadPro-Regular" w:cs="MyriadPro-Regular"/>
          <w:color w:val="000000"/>
          <w:sz w:val="20"/>
          <w:szCs w:val="20"/>
        </w:rPr>
        <w:t>στο Συγκεντρωτικό Δελτίο Αποστολής αναγράφεται υποχρεωτικά και ο αύξων αριθμός της αυτόματα εκδιδόμενης απόδειξης εσόδου από το ολοκληρωμένο σύστημα</w:t>
      </w:r>
    </w:p>
    <w:p w:rsidR="00EA3E40" w:rsidRDefault="00EA3E40" w:rsidP="00EA3E4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παρακολούθησης εισροών εκροών, η οποία παραμένει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color w:val="000000"/>
          <w:sz w:val="20"/>
          <w:szCs w:val="20"/>
        </w:rPr>
        <w:t>στον πωλητή και επισυνάπτεται στο στέλεχος του αντίστοιχου Συγκεντρωτικού Δελτίου Αποστολής.</w:t>
      </w:r>
    </w:p>
    <w:p w:rsidR="00EA3E40" w:rsidRDefault="00EA3E40" w:rsidP="00EA3E4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EA3E40" w:rsidRDefault="00EA3E40" w:rsidP="00EA3E4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7. Το Δελτίο Διακίνησης Πετρελαίου για Θέρμανση είναι τουλάχιστον διπλότυπο και αριθμημένο με συνεχή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color w:val="000000"/>
          <w:sz w:val="20"/>
          <w:szCs w:val="20"/>
        </w:rPr>
        <w:t>αρίθμηση, ανά διετία και δεν απαιτείται θεώρησή του.</w:t>
      </w:r>
    </w:p>
    <w:p w:rsidR="00EA3E40" w:rsidRDefault="00EA3E40" w:rsidP="00EA3E4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EA3E40" w:rsidRDefault="00EA3E40" w:rsidP="00EA3E4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8. Η ποσότητα του πετρελαίου για θέρμανση, που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color w:val="000000"/>
          <w:sz w:val="20"/>
          <w:szCs w:val="20"/>
        </w:rPr>
        <w:t>υπάρχει κάθε φορά στις δεξαμενές των βυτιοφόρων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color w:val="000000"/>
          <w:sz w:val="20"/>
          <w:szCs w:val="20"/>
        </w:rPr>
        <w:t>αυτοκινήτων μεταφοράς και διανομής, πρέπει να είναι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color w:val="000000"/>
          <w:sz w:val="20"/>
          <w:szCs w:val="20"/>
        </w:rPr>
        <w:t>ίση με την ποσότητα που είχε φορτωθεί και αναγράφεται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color w:val="000000"/>
          <w:sz w:val="20"/>
          <w:szCs w:val="20"/>
        </w:rPr>
        <w:t>στο Συγκεντρωτικό Δελτίο Αποστολής ή που προκύπτει</w:t>
      </w:r>
    </w:p>
    <w:p w:rsidR="00EA3E40" w:rsidRDefault="00EA3E40" w:rsidP="00EA3E4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από το Δελτίο Διακίνησης Πετρελαίου για Θέρμανση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, </w:t>
      </w:r>
      <w:r>
        <w:rPr>
          <w:rFonts w:ascii="MyriadPro-Regular" w:hAnsi="MyriadPro-Regular" w:cs="MyriadPro-Regular"/>
          <w:color w:val="000000"/>
          <w:sz w:val="20"/>
          <w:szCs w:val="20"/>
        </w:rPr>
        <w:t>μειωμένη κατά τις ποσότητες που παραδόθηκαν μέχρι τη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color w:val="000000"/>
          <w:sz w:val="20"/>
          <w:szCs w:val="20"/>
        </w:rPr>
        <w:t>στιγμή του ελέγχου. Τα παραπάνω αποδεικνύονται από</w:t>
      </w:r>
    </w:p>
    <w:p w:rsidR="00EA3E40" w:rsidRDefault="00EA3E40" w:rsidP="00EA3E4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τα παραστατικά στοιχεία που πρέπει να συνοδεύουν το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color w:val="000000"/>
          <w:sz w:val="20"/>
          <w:szCs w:val="20"/>
        </w:rPr>
        <w:t>πετρέλαιο για θέρμανση κατά τη διακίνησή του.</w:t>
      </w:r>
    </w:p>
    <w:p w:rsidR="00EA3E40" w:rsidRDefault="00EA3E40" w:rsidP="00EA3E4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EA3E40" w:rsidRDefault="00EA3E40" w:rsidP="00EA3E4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9. Όταν δεν έχει εκδοθεί «Δελτίο Διακίνησης Πετρελαίου για Θέρμανση» ενώ προβλέπεται, ή όταν το Δελτίο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color w:val="000000"/>
          <w:sz w:val="20"/>
          <w:szCs w:val="20"/>
        </w:rPr>
        <w:t>αυτό είναι μη συμπληρωμένο ως προς όλα τα απαιτούμενα στοιχεία της παρ. 3, ή αλλοιωμένο, ή διορθωμένο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color w:val="000000"/>
          <w:sz w:val="20"/>
          <w:szCs w:val="20"/>
        </w:rPr>
        <w:t>ή παραποιημένο, επιβάλλεται στο διακινητή διοικητικό</w:t>
      </w:r>
    </w:p>
    <w:p w:rsidR="00EA3E40" w:rsidRDefault="00EA3E40" w:rsidP="00EA3E4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πρόστιμο πέντε χιλιάδων ευρώ (5.000€), το δε βυτίο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color w:val="000000"/>
          <w:sz w:val="20"/>
          <w:szCs w:val="20"/>
        </w:rPr>
        <w:t>επιστρέφει συνοδευόμενο στο χώρο φόρτωσης προκειμένου να επαναληφθεί η διακίνησή του πετρελαίου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color w:val="000000"/>
          <w:sz w:val="20"/>
          <w:szCs w:val="20"/>
        </w:rPr>
        <w:t>θέρμανσης με τα νόμιμα παραστατικά.</w:t>
      </w:r>
    </w:p>
    <w:p w:rsidR="00EA3E40" w:rsidRDefault="00EA3E40" w:rsidP="00EA3E4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EA3E40" w:rsidRDefault="00EA3E40" w:rsidP="00EA3E4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10. Όταν στο Συγκεντρωτικό Δελτίο Αποστολής δεν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color w:val="000000"/>
          <w:sz w:val="20"/>
          <w:szCs w:val="20"/>
        </w:rPr>
        <w:t>αναγράφεται ο αύξων αριθμός της αυτόματα εκδιδόμενης απόδειξης εσόδου από το ολοκληρωμένο σύστημα</w:t>
      </w:r>
    </w:p>
    <w:p w:rsidR="00EA3E40" w:rsidRDefault="00EA3E40" w:rsidP="00EA3E4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παρακολούθησης εισροών εκροών επιβάλλεται στο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color w:val="000000"/>
          <w:sz w:val="20"/>
          <w:szCs w:val="20"/>
        </w:rPr>
        <w:t>διακινητή διοικητικό πρόστιμο πέντε χιλιάδων ευρώ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color w:val="000000"/>
          <w:sz w:val="20"/>
          <w:szCs w:val="20"/>
        </w:rPr>
        <w:t>(5.000€).</w:t>
      </w:r>
    </w:p>
    <w:p w:rsidR="00EA3E40" w:rsidRDefault="00EA3E40" w:rsidP="00EA3E4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EA3E40" w:rsidRDefault="00EA3E40" w:rsidP="00EA3E4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11. Όταν διαπιστώνεται διαφορά (έλλειμμα ή περίσσευμα) μεταξύ της μετρούμενης κατά τον έλεγχο ποσότητας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color w:val="000000"/>
          <w:sz w:val="20"/>
          <w:szCs w:val="20"/>
        </w:rPr>
        <w:t>και της αρχικά φορτωθείσας ποσότητας ελαττωμένης</w:t>
      </w:r>
    </w:p>
    <w:p w:rsidR="00EA3E40" w:rsidRDefault="00EA3E40" w:rsidP="00EA3E4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lastRenderedPageBreak/>
        <w:t>κατά την, μέχρι τη στιγμή του ελέγχου, τυχόν παραδοθείσα ποσότητα, επιβάλλεται στο διακινητή πρόστιμο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color w:val="000000"/>
          <w:sz w:val="20"/>
          <w:szCs w:val="20"/>
        </w:rPr>
        <w:t>δεκαπλάσιο της αξίας της ποσότητας του πετρελαίου για</w:t>
      </w:r>
    </w:p>
    <w:p w:rsidR="00EA3E40" w:rsidRDefault="00EA3E40" w:rsidP="00EA3E4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θέρμανση που δεν δικαιολογείται από τα παραστατικά.</w:t>
      </w:r>
    </w:p>
    <w:p w:rsidR="00EA3E40" w:rsidRDefault="00EA3E40" w:rsidP="00EA3E4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Για τον υπολογισμό της αξίας λαμβάνεται υπόψη η τιμή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color w:val="000000"/>
          <w:sz w:val="20"/>
          <w:szCs w:val="20"/>
        </w:rPr>
        <w:t>πώλησης ανά λίτρο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color w:val="000000"/>
          <w:sz w:val="20"/>
          <w:szCs w:val="20"/>
        </w:rPr>
        <w:t>συμπεριλαμβανομένου του ΦΠΑ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, </w:t>
      </w:r>
      <w:r>
        <w:rPr>
          <w:rFonts w:ascii="MyriadPro-Regular" w:hAnsi="MyriadPro-Regular" w:cs="MyriadPro-Regular"/>
          <w:color w:val="000000"/>
          <w:sz w:val="20"/>
          <w:szCs w:val="20"/>
        </w:rPr>
        <w:t>όπως προκύπτει από τα σχετικά παραστατικά διακίνησης της ίδιας μέρας. Σε περίπτωση που δεν είναι δυνατό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color w:val="000000"/>
          <w:sz w:val="20"/>
          <w:szCs w:val="20"/>
        </w:rPr>
        <w:t>να προσδιοριστεί η τιμή πώλησης ανά λίτρο την ημέρα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color w:val="000000"/>
          <w:sz w:val="20"/>
          <w:szCs w:val="20"/>
        </w:rPr>
        <w:t>διαπίστωσης της παράβασης λαμβάνεται υπόψη η τιμή</w:t>
      </w:r>
    </w:p>
    <w:p w:rsidR="00EA3E40" w:rsidRDefault="00EA3E40" w:rsidP="00EA3E4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πώλησης ανά λίτρο, ΣΥΜΠΕΡΙΛΑΜΒΑΝΟΜΕΝΟΥ ΤΟΥ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Φ.Π.Α., της τελευταίας πώλησης. Για τον υπολογισμό 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της </w:t>
      </w:r>
      <w:r>
        <w:rPr>
          <w:rFonts w:ascii="MyriadPro-Regular" w:hAnsi="MyriadPro-Regular" w:cs="MyriadPro-Regular"/>
          <w:color w:val="000000"/>
          <w:sz w:val="20"/>
          <w:szCs w:val="20"/>
        </w:rPr>
        <w:t>ποσότητας, επί της οποίας θα επιβληθεί το πρόστιμο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, </w:t>
      </w:r>
      <w:r>
        <w:rPr>
          <w:rFonts w:ascii="MyriadPro-Regular" w:hAnsi="MyriadPro-Regular" w:cs="MyriadPro-Regular"/>
          <w:color w:val="000000"/>
          <w:sz w:val="20"/>
          <w:szCs w:val="20"/>
        </w:rPr>
        <w:t>λαμβάνεται υπ’ όψη ανοχή 0,5% επί της αρχικά φορτωθείσας ποσότητας.»</w:t>
      </w:r>
    </w:p>
    <w:p w:rsidR="00AC65E7" w:rsidRDefault="00AC65E7" w:rsidP="00EA3E40"/>
    <w:sectPr w:rsidR="00AC65E7" w:rsidSect="0034023F">
      <w:pgSz w:w="11906" w:h="16838"/>
      <w:pgMar w:top="426" w:right="991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40"/>
    <w:rsid w:val="0034023F"/>
    <w:rsid w:val="00AC65E7"/>
    <w:rsid w:val="00EA3E40"/>
    <w:rsid w:val="00ED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2019-09-24T09:09:00Z</dcterms:created>
  <dcterms:modified xsi:type="dcterms:W3CDTF">2019-09-24T09:09:00Z</dcterms:modified>
</cp:coreProperties>
</file>